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6A9B7" w14:textId="35E47960" w:rsidR="00927B69" w:rsidRPr="001527E1" w:rsidRDefault="00927B69" w:rsidP="001527E1">
      <w:pPr>
        <w:jc w:val="both"/>
        <w:rPr>
          <w:rFonts w:ascii="Roboto" w:hAnsi="Roboto"/>
        </w:rPr>
      </w:pPr>
      <w:r w:rsidRPr="001527E1">
        <w:rPr>
          <w:rFonts w:ascii="Roboto" w:hAnsi="Roboto"/>
          <w:b/>
          <w:bCs/>
        </w:rPr>
        <w:t>Hindamiskriteeriumid</w:t>
      </w:r>
      <w:r w:rsidR="002A1349" w:rsidRPr="001527E1">
        <w:rPr>
          <w:rFonts w:ascii="Roboto" w:hAnsi="Roboto"/>
          <w:b/>
          <w:bCs/>
        </w:rPr>
        <w:t xml:space="preserve"> ja metoodika</w:t>
      </w:r>
    </w:p>
    <w:p w14:paraId="42B5D646" w14:textId="41E4B0C3" w:rsidR="002A1349" w:rsidRPr="001527E1" w:rsidRDefault="002A1349" w:rsidP="001527E1">
      <w:pPr>
        <w:jc w:val="both"/>
        <w:rPr>
          <w:rFonts w:ascii="Roboto" w:hAnsi="Roboto"/>
        </w:rPr>
      </w:pPr>
      <w:r w:rsidRPr="001527E1">
        <w:rPr>
          <w:rFonts w:ascii="Roboto" w:hAnsi="Roboto"/>
        </w:rPr>
        <w:t>Hindamiskriteeriumid on paigutatud viide teemagruppi: avalik huvi; tulemuslikkus; kaasatus; läbipaistvus; ligipääsetavus; võimekus. Iga teemagrupi hinne kujuneb eelmise variraporti hindamismetoodika alusel, kus kriteeriumi täidetuse korral sai ministeerium ühe plusspunkti ning mittetäidetuse korral miinuspunkti. Kui kriteerium oli täidetud osaliselt</w:t>
      </w:r>
      <w:r w:rsidR="001527E1" w:rsidRPr="001527E1">
        <w:rPr>
          <w:rFonts w:ascii="Roboto" w:hAnsi="Roboto"/>
        </w:rPr>
        <w:t>, märgiti tulemuseks „nii või naa“ või „+/-</w:t>
      </w:r>
      <w:r w:rsidR="001527E1" w:rsidRPr="001527E1">
        <w:rPr>
          <w:rFonts w:ascii="Roboto" w:hAnsi="Roboto"/>
        </w:rPr>
        <w:t>“</w:t>
      </w:r>
      <w:r w:rsidR="001527E1" w:rsidRPr="001527E1">
        <w:rPr>
          <w:rFonts w:ascii="Roboto" w:hAnsi="Roboto"/>
        </w:rPr>
        <w:t>. 2016. aasta variraportis anti tulemused edasi värvikoodidega, kus punane oli kõige kehvem tulemus ning järgnesid paremuse suunal oranž, kollane, heleroheline ja kõrgeima tulemuse värvina tumeroheline. Hall värv tähistas olukorda, kus hindamise polnud info vähesuse tõttu võimalik. Värvikoodide sisuline tähendus on teemagrupi sisulise täidetuse osakaalu näitamine (0%-100%). Säilitasin võrreldavuse eesmärgil värvikoodid ja andsin hinnangu esialgu samamoodi. Peale värvikoodidega hinnangute valmimist kodeerisin need ümber ka 5-palli süsteemi, kus 1 on kõike kehvem tulemus ja 5 kõige kõrgem.</w:t>
      </w:r>
    </w:p>
    <w:p w14:paraId="46D9C4E7" w14:textId="77777777" w:rsidR="00927B69" w:rsidRDefault="00927B69" w:rsidP="001527E1">
      <w:pPr>
        <w:jc w:val="both"/>
        <w:rPr>
          <w:rFonts w:ascii="Roboto" w:hAnsi="Roboto"/>
        </w:rPr>
      </w:pPr>
    </w:p>
    <w:p w14:paraId="377EA25E" w14:textId="77777777" w:rsidR="001527E1" w:rsidRPr="001527E1" w:rsidRDefault="001527E1" w:rsidP="001527E1">
      <w:pPr>
        <w:jc w:val="both"/>
        <w:rPr>
          <w:rFonts w:ascii="Roboto" w:hAnsi="Roboto"/>
        </w:rPr>
      </w:pPr>
    </w:p>
    <w:p w14:paraId="01AC4710" w14:textId="0B8D4D43" w:rsidR="00927B69" w:rsidRPr="001527E1" w:rsidRDefault="00927B69" w:rsidP="001527E1">
      <w:pPr>
        <w:jc w:val="both"/>
        <w:rPr>
          <w:rFonts w:ascii="Roboto" w:hAnsi="Roboto"/>
          <w:b/>
          <w:bCs/>
        </w:rPr>
      </w:pPr>
      <w:r w:rsidRPr="001527E1">
        <w:rPr>
          <w:rFonts w:ascii="Roboto" w:hAnsi="Roboto"/>
          <w:b/>
          <w:bCs/>
        </w:rPr>
        <w:t>Avalik huvi</w:t>
      </w:r>
    </w:p>
    <w:p w14:paraId="3AE7129B" w14:textId="6BF90DBF" w:rsidR="00927B69" w:rsidRPr="001527E1" w:rsidRDefault="00927B69" w:rsidP="001527E1">
      <w:pPr>
        <w:jc w:val="both"/>
        <w:rPr>
          <w:rFonts w:ascii="Roboto" w:hAnsi="Roboto"/>
        </w:rPr>
      </w:pPr>
      <w:r w:rsidRPr="001527E1">
        <w:rPr>
          <w:rFonts w:ascii="Roboto" w:hAnsi="Roboto"/>
        </w:rPr>
        <w:t xml:space="preserve">Juhendis: </w:t>
      </w:r>
      <w:r w:rsidRPr="001527E1">
        <w:rPr>
          <w:rFonts w:ascii="Roboto" w:hAnsi="Roboto"/>
          <w:i/>
          <w:iCs/>
        </w:rPr>
        <w:t>"Rahastatakse ühenduste selliseid eesmärke ja tegevusi, mis toetavad ühenduse liikmes- või töötajaskonnast laiema sihtgrupi huvisid. Rahastada võib ka tegevusi, mille sihtgrupp on ühenduse liikmeskond vm kitsas rühm, kui sel juhul peab see olema ülejäänud ühiskonnaliikmetega võrreldes ebasoodsas olukorras. Ebasoodsas olukorras oleva sihtgrupina käsitletakse tavaliselt erilist abi vajavaid gruppe, näiteks lapsi, puuetega inimesi või vähemusrahvuste gruppe."</w:t>
      </w:r>
    </w:p>
    <w:p w14:paraId="7BE70E4B" w14:textId="312354A6" w:rsidR="00927B69" w:rsidRPr="001527E1" w:rsidRDefault="00927B69" w:rsidP="001527E1">
      <w:pPr>
        <w:pStyle w:val="Loendilik"/>
        <w:numPr>
          <w:ilvl w:val="0"/>
          <w:numId w:val="1"/>
        </w:numPr>
        <w:jc w:val="both"/>
        <w:rPr>
          <w:rFonts w:ascii="Roboto" w:hAnsi="Roboto"/>
        </w:rPr>
      </w:pPr>
      <w:r w:rsidRPr="001527E1">
        <w:rPr>
          <w:rFonts w:ascii="Roboto" w:hAnsi="Roboto"/>
        </w:rPr>
        <w:t>R</w:t>
      </w:r>
      <w:r w:rsidRPr="001527E1">
        <w:rPr>
          <w:rFonts w:ascii="Roboto" w:hAnsi="Roboto"/>
        </w:rPr>
        <w:t>ahastamise tingimustes on välja toodud, et toetatakse avalikes huvides tegutsevaid organisatsioone.</w:t>
      </w:r>
    </w:p>
    <w:p w14:paraId="28756D44" w14:textId="05E0D87C" w:rsidR="00927B69" w:rsidRPr="001527E1" w:rsidRDefault="00927B69" w:rsidP="001527E1">
      <w:pPr>
        <w:pStyle w:val="Loendilik"/>
        <w:numPr>
          <w:ilvl w:val="0"/>
          <w:numId w:val="1"/>
        </w:numPr>
        <w:jc w:val="both"/>
        <w:rPr>
          <w:rFonts w:ascii="Roboto" w:hAnsi="Roboto"/>
        </w:rPr>
      </w:pPr>
      <w:r w:rsidRPr="001527E1">
        <w:rPr>
          <w:rFonts w:ascii="Roboto" w:hAnsi="Roboto"/>
        </w:rPr>
        <w:t xml:space="preserve">Rahastamise </w:t>
      </w:r>
      <w:r w:rsidRPr="001527E1">
        <w:rPr>
          <w:rFonts w:ascii="Roboto" w:hAnsi="Roboto"/>
        </w:rPr>
        <w:t>korras on viide, et otsused peavad olema kooskõlas avalike huvidega.</w:t>
      </w:r>
    </w:p>
    <w:p w14:paraId="5D8079C0" w14:textId="7F9EC7A2" w:rsidR="00927B69" w:rsidRPr="001527E1" w:rsidRDefault="00927B69" w:rsidP="001527E1">
      <w:pPr>
        <w:jc w:val="both"/>
        <w:rPr>
          <w:rFonts w:ascii="Roboto" w:hAnsi="Roboto"/>
        </w:rPr>
      </w:pPr>
      <w:r w:rsidRPr="001527E1">
        <w:rPr>
          <w:rFonts w:ascii="Roboto" w:hAnsi="Roboto"/>
        </w:rPr>
        <w:t xml:space="preserve">Juhendis: </w:t>
      </w:r>
      <w:r w:rsidRPr="001527E1">
        <w:rPr>
          <w:rFonts w:ascii="Roboto" w:hAnsi="Roboto"/>
          <w:i/>
          <w:iCs/>
        </w:rPr>
        <w:t>"Ühenduste rahastamine on seostatud[M1]  valdkondlike ja/ või piirkondlike, kohalike, üle-eestiliste ja/või rahvusvaheliste strateegiliste dokumentidega (arengukavad, tegevusprogrammid, kontseptsioonid jm)."</w:t>
      </w:r>
    </w:p>
    <w:p w14:paraId="64BEE002" w14:textId="23BF4D11" w:rsidR="00927B69" w:rsidRPr="001527E1" w:rsidRDefault="00927B69" w:rsidP="001527E1">
      <w:pPr>
        <w:pStyle w:val="Loendilik"/>
        <w:numPr>
          <w:ilvl w:val="0"/>
          <w:numId w:val="1"/>
        </w:numPr>
        <w:jc w:val="both"/>
        <w:rPr>
          <w:rFonts w:ascii="Roboto" w:hAnsi="Roboto"/>
        </w:rPr>
      </w:pPr>
      <w:r w:rsidRPr="001527E1">
        <w:rPr>
          <w:rFonts w:ascii="Roboto" w:hAnsi="Roboto"/>
        </w:rPr>
        <w:t>Veebilehelt on leitav rahastamise eesmärk.</w:t>
      </w:r>
    </w:p>
    <w:p w14:paraId="0A19A448" w14:textId="700204DE" w:rsidR="00927B69" w:rsidRPr="001527E1" w:rsidRDefault="00927B69" w:rsidP="001527E1">
      <w:pPr>
        <w:pStyle w:val="Loendilik"/>
        <w:numPr>
          <w:ilvl w:val="0"/>
          <w:numId w:val="1"/>
        </w:numPr>
        <w:jc w:val="both"/>
        <w:rPr>
          <w:rFonts w:ascii="Roboto" w:hAnsi="Roboto"/>
        </w:rPr>
      </w:pPr>
      <w:r w:rsidRPr="001527E1">
        <w:rPr>
          <w:rFonts w:ascii="Roboto" w:hAnsi="Roboto"/>
        </w:rPr>
        <w:t>Korras või lepingus on viidatud, millisesse arengukavasse toetus panustab.</w:t>
      </w:r>
    </w:p>
    <w:p w14:paraId="443B6DE7" w14:textId="0FC6D8F3" w:rsidR="00927B69" w:rsidRPr="001527E1" w:rsidRDefault="00927B69" w:rsidP="001527E1">
      <w:pPr>
        <w:pStyle w:val="Loendilik"/>
        <w:numPr>
          <w:ilvl w:val="0"/>
          <w:numId w:val="1"/>
        </w:numPr>
        <w:jc w:val="both"/>
        <w:rPr>
          <w:rFonts w:ascii="Roboto" w:hAnsi="Roboto"/>
        </w:rPr>
      </w:pPr>
      <w:r w:rsidRPr="001527E1">
        <w:rPr>
          <w:rFonts w:ascii="Roboto" w:hAnsi="Roboto"/>
        </w:rPr>
        <w:t xml:space="preserve">Sisse on seatud strateegilise partnerluse ja pikaajaliste tegevustoetuste praktika. See </w:t>
      </w:r>
      <w:proofErr w:type="spellStart"/>
      <w:r w:rsidRPr="001527E1">
        <w:rPr>
          <w:rFonts w:ascii="Roboto" w:hAnsi="Roboto"/>
        </w:rPr>
        <w:t>indikeerib</w:t>
      </w:r>
      <w:proofErr w:type="spellEnd"/>
      <w:r w:rsidRPr="001527E1">
        <w:rPr>
          <w:rFonts w:ascii="Roboto" w:hAnsi="Roboto"/>
        </w:rPr>
        <w:t>, mil määral on ühenduste roll läbi mõeldud ja seostatud valdkonna eesmärkidega.</w:t>
      </w:r>
    </w:p>
    <w:p w14:paraId="2962276B" w14:textId="77777777" w:rsidR="00927B69" w:rsidRDefault="00927B69" w:rsidP="001527E1">
      <w:pPr>
        <w:jc w:val="both"/>
        <w:rPr>
          <w:rFonts w:ascii="Roboto" w:hAnsi="Roboto"/>
        </w:rPr>
      </w:pPr>
    </w:p>
    <w:p w14:paraId="6093EB0E" w14:textId="77777777" w:rsidR="001527E1" w:rsidRPr="001527E1" w:rsidRDefault="001527E1" w:rsidP="001527E1">
      <w:pPr>
        <w:jc w:val="both"/>
        <w:rPr>
          <w:rFonts w:ascii="Roboto" w:hAnsi="Roboto"/>
        </w:rPr>
      </w:pPr>
    </w:p>
    <w:p w14:paraId="4A0C346C" w14:textId="64C6395E" w:rsidR="00927B69" w:rsidRPr="001527E1" w:rsidRDefault="00927B69" w:rsidP="001527E1">
      <w:pPr>
        <w:jc w:val="both"/>
        <w:rPr>
          <w:rFonts w:ascii="Roboto" w:hAnsi="Roboto"/>
        </w:rPr>
      </w:pPr>
      <w:r w:rsidRPr="001527E1">
        <w:rPr>
          <w:rFonts w:ascii="Roboto" w:hAnsi="Roboto"/>
          <w:b/>
          <w:bCs/>
        </w:rPr>
        <w:lastRenderedPageBreak/>
        <w:t>Tulemuslikkus</w:t>
      </w:r>
    </w:p>
    <w:p w14:paraId="7307C5C0" w14:textId="39AEDB90" w:rsidR="00927B69" w:rsidRPr="001527E1" w:rsidRDefault="00927B69" w:rsidP="001527E1">
      <w:pPr>
        <w:pStyle w:val="Loendilik"/>
        <w:numPr>
          <w:ilvl w:val="0"/>
          <w:numId w:val="2"/>
        </w:numPr>
        <w:jc w:val="both"/>
        <w:rPr>
          <w:rFonts w:ascii="Roboto" w:hAnsi="Roboto"/>
        </w:rPr>
      </w:pPr>
      <w:r w:rsidRPr="001527E1">
        <w:rPr>
          <w:rFonts w:ascii="Roboto" w:hAnsi="Roboto"/>
        </w:rPr>
        <w:t>Rahastaja seab sellised rahastamise tingimused ja kriteeriumid, mis toetavad planeeritud eesmärkide saavutamist ja võimaldavad hinnata ühenduste rahastamise tulemuslikkust tervikuna.</w:t>
      </w:r>
    </w:p>
    <w:p w14:paraId="569D1879" w14:textId="59BE3388" w:rsidR="00927B69" w:rsidRPr="001527E1" w:rsidRDefault="00927B69" w:rsidP="001527E1">
      <w:pPr>
        <w:pStyle w:val="Loendilik"/>
        <w:numPr>
          <w:ilvl w:val="0"/>
          <w:numId w:val="2"/>
        </w:numPr>
        <w:jc w:val="both"/>
        <w:rPr>
          <w:rFonts w:ascii="Roboto" w:hAnsi="Roboto"/>
        </w:rPr>
      </w:pPr>
      <w:r w:rsidRPr="001527E1">
        <w:rPr>
          <w:rFonts w:ascii="Roboto" w:hAnsi="Roboto"/>
        </w:rPr>
        <w:t>Rahastamistingimustes on kokku lepitud läbivad indikaatorid, rahastaja on kehtestanud nende mõõtmise/hindamise metoodika ja korra.</w:t>
      </w:r>
    </w:p>
    <w:p w14:paraId="63699883" w14:textId="41FE743E" w:rsidR="00927B69" w:rsidRPr="001527E1" w:rsidRDefault="00927B69" w:rsidP="001527E1">
      <w:pPr>
        <w:pStyle w:val="Loendilik"/>
        <w:numPr>
          <w:ilvl w:val="0"/>
          <w:numId w:val="2"/>
        </w:numPr>
        <w:jc w:val="both"/>
        <w:rPr>
          <w:rFonts w:ascii="Roboto" w:hAnsi="Roboto"/>
        </w:rPr>
      </w:pPr>
      <w:r w:rsidRPr="001527E1">
        <w:rPr>
          <w:rFonts w:ascii="Roboto" w:hAnsi="Roboto"/>
        </w:rPr>
        <w:t>Taotluse ja aruande vormid sisaldavad minimaalselt väljundindikaatoreid ja võimalusel ka tulemusindikaatoreid.</w:t>
      </w:r>
    </w:p>
    <w:p w14:paraId="5594094A" w14:textId="3CDDCB45" w:rsidR="00927B69" w:rsidRPr="001527E1" w:rsidRDefault="00927B69" w:rsidP="001527E1">
      <w:pPr>
        <w:pStyle w:val="Loendilik"/>
        <w:numPr>
          <w:ilvl w:val="0"/>
          <w:numId w:val="2"/>
        </w:numPr>
        <w:jc w:val="both"/>
        <w:rPr>
          <w:rFonts w:ascii="Roboto" w:hAnsi="Roboto"/>
        </w:rPr>
      </w:pPr>
      <w:r w:rsidRPr="001527E1">
        <w:rPr>
          <w:rFonts w:ascii="Roboto" w:hAnsi="Roboto"/>
        </w:rPr>
        <w:t>Raha jagamise ja kasutamise halduskulud on tõhusad (ministeeriumi hinnangul)</w:t>
      </w:r>
      <w:r w:rsidR="008B5F1F" w:rsidRPr="001527E1">
        <w:rPr>
          <w:rFonts w:ascii="Roboto" w:hAnsi="Roboto"/>
        </w:rPr>
        <w:t xml:space="preserve"> ja ei tekita ebaproportsionaalselt suurt halduskoormust (läbipaistvus on tagatud, kuid protsess on halduskoormuse mõttes tasakaalus).</w:t>
      </w:r>
    </w:p>
    <w:p w14:paraId="614F4DFF" w14:textId="67FE5BC6" w:rsidR="008B5F1F" w:rsidRPr="001527E1" w:rsidRDefault="008B5F1F" w:rsidP="001527E1">
      <w:pPr>
        <w:pStyle w:val="Loendilik"/>
        <w:numPr>
          <w:ilvl w:val="0"/>
          <w:numId w:val="2"/>
        </w:numPr>
        <w:jc w:val="both"/>
        <w:rPr>
          <w:rFonts w:ascii="Roboto" w:hAnsi="Roboto"/>
        </w:rPr>
      </w:pPr>
      <w:r w:rsidRPr="001527E1">
        <w:rPr>
          <w:rFonts w:ascii="Roboto" w:hAnsi="Roboto"/>
        </w:rPr>
        <w:t>Aruannete pealt on tehtud koondanalüüs ja/või hinnatud rahastamise (meetme/programmi) tulemuslikkust.</w:t>
      </w:r>
    </w:p>
    <w:p w14:paraId="1F2DB082" w14:textId="4AB59FC4" w:rsidR="008B5F1F" w:rsidRPr="001527E1" w:rsidRDefault="008B5F1F" w:rsidP="001527E1">
      <w:pPr>
        <w:pStyle w:val="Loendilik"/>
        <w:numPr>
          <w:ilvl w:val="0"/>
          <w:numId w:val="2"/>
        </w:numPr>
        <w:jc w:val="both"/>
        <w:rPr>
          <w:rFonts w:ascii="Roboto" w:hAnsi="Roboto"/>
        </w:rPr>
      </w:pPr>
      <w:r w:rsidRPr="001527E1">
        <w:rPr>
          <w:rFonts w:ascii="Roboto" w:hAnsi="Roboto"/>
        </w:rPr>
        <w:t>Tulemuslikkuse hindamise põhjal on vajadusel muudetud rahastamise viisi või seda, mille elluviimiseks toetusi antakse.</w:t>
      </w:r>
    </w:p>
    <w:p w14:paraId="0923751F" w14:textId="77777777" w:rsidR="001527E1" w:rsidRDefault="001527E1" w:rsidP="001527E1">
      <w:pPr>
        <w:jc w:val="both"/>
        <w:rPr>
          <w:rFonts w:ascii="Roboto" w:hAnsi="Roboto"/>
          <w:b/>
          <w:bCs/>
        </w:rPr>
      </w:pPr>
    </w:p>
    <w:p w14:paraId="1F05E18E" w14:textId="25AD6C60" w:rsidR="008B5F1F" w:rsidRPr="001527E1" w:rsidRDefault="008B5F1F" w:rsidP="001527E1">
      <w:pPr>
        <w:jc w:val="both"/>
        <w:rPr>
          <w:rFonts w:ascii="Roboto" w:hAnsi="Roboto"/>
          <w:b/>
          <w:bCs/>
        </w:rPr>
      </w:pPr>
      <w:r w:rsidRPr="001527E1">
        <w:rPr>
          <w:rFonts w:ascii="Roboto" w:hAnsi="Roboto"/>
          <w:b/>
          <w:bCs/>
        </w:rPr>
        <w:t>Kaasatus</w:t>
      </w:r>
    </w:p>
    <w:p w14:paraId="76985600" w14:textId="74B5B3FA" w:rsidR="008B5F1F" w:rsidRPr="001527E1" w:rsidRDefault="008B5F1F" w:rsidP="001527E1">
      <w:pPr>
        <w:pStyle w:val="Loendilik"/>
        <w:numPr>
          <w:ilvl w:val="0"/>
          <w:numId w:val="4"/>
        </w:numPr>
        <w:jc w:val="both"/>
        <w:rPr>
          <w:rFonts w:ascii="Roboto" w:hAnsi="Roboto"/>
        </w:rPr>
      </w:pPr>
      <w:r w:rsidRPr="001527E1">
        <w:rPr>
          <w:rFonts w:ascii="Roboto" w:hAnsi="Roboto"/>
        </w:rPr>
        <w:t>Olulisemate rahastamisprotsessi reguleerivate alusdokumentide ja rahastamistingimuste väljatöötamisel konsulteeritakse pühendustega võimalikult varakult, soovitavalt eesmärkide püstitamise etapis.</w:t>
      </w:r>
    </w:p>
    <w:p w14:paraId="4C7099DC" w14:textId="2A29555C" w:rsidR="008B5F1F" w:rsidRPr="001527E1" w:rsidRDefault="008B5F1F" w:rsidP="001527E1">
      <w:pPr>
        <w:pStyle w:val="Loendilik"/>
        <w:numPr>
          <w:ilvl w:val="0"/>
          <w:numId w:val="4"/>
        </w:numPr>
        <w:jc w:val="both"/>
        <w:rPr>
          <w:rFonts w:ascii="Roboto" w:hAnsi="Roboto"/>
        </w:rPr>
      </w:pPr>
      <w:r w:rsidRPr="001527E1">
        <w:rPr>
          <w:rFonts w:ascii="Roboto" w:hAnsi="Roboto"/>
        </w:rPr>
        <w:t>Kaasarääkimise võimalus on antud kõigile asjast huvitatud osapooltele, valdkonnas või piirkonnas tegutsevatele ühendustele.</w:t>
      </w:r>
    </w:p>
    <w:p w14:paraId="6C2E896E" w14:textId="67283CDC" w:rsidR="008B5F1F" w:rsidRPr="001527E1" w:rsidRDefault="008B5F1F" w:rsidP="001527E1">
      <w:pPr>
        <w:pStyle w:val="Loendilik"/>
        <w:numPr>
          <w:ilvl w:val="0"/>
          <w:numId w:val="4"/>
        </w:numPr>
        <w:jc w:val="both"/>
        <w:rPr>
          <w:rFonts w:ascii="Roboto" w:hAnsi="Roboto"/>
        </w:rPr>
      </w:pPr>
      <w:r w:rsidRPr="001527E1">
        <w:rPr>
          <w:rFonts w:ascii="Roboto" w:hAnsi="Roboto"/>
        </w:rPr>
        <w:t>Raha kasutamise järel küsitakse ühendustelt tagasisidet rahastamisprotsessi reguleerivate alusdokumentide ja tingimuste, rahastamisprotsessi ja rahastaja töökultuuri kohta.</w:t>
      </w:r>
    </w:p>
    <w:p w14:paraId="423BCB08" w14:textId="77777777" w:rsidR="008B5F1F" w:rsidRPr="001527E1" w:rsidRDefault="008B5F1F" w:rsidP="001527E1">
      <w:pPr>
        <w:jc w:val="both"/>
        <w:rPr>
          <w:rFonts w:ascii="Roboto" w:hAnsi="Roboto"/>
        </w:rPr>
      </w:pPr>
    </w:p>
    <w:p w14:paraId="746F2D66" w14:textId="65999066" w:rsidR="008B5F1F" w:rsidRPr="001527E1" w:rsidRDefault="008B5F1F" w:rsidP="001527E1">
      <w:pPr>
        <w:jc w:val="both"/>
        <w:rPr>
          <w:rFonts w:ascii="Roboto" w:hAnsi="Roboto"/>
        </w:rPr>
      </w:pPr>
      <w:r w:rsidRPr="001527E1">
        <w:rPr>
          <w:rFonts w:ascii="Roboto" w:hAnsi="Roboto"/>
          <w:b/>
          <w:bCs/>
        </w:rPr>
        <w:t>Läbipaistvus</w:t>
      </w:r>
    </w:p>
    <w:p w14:paraId="3B7CF181" w14:textId="77BA7A93" w:rsidR="008B5F1F" w:rsidRPr="001527E1" w:rsidRDefault="008B5F1F" w:rsidP="001527E1">
      <w:pPr>
        <w:pStyle w:val="Loendilik"/>
        <w:numPr>
          <w:ilvl w:val="0"/>
          <w:numId w:val="5"/>
        </w:numPr>
        <w:jc w:val="both"/>
        <w:rPr>
          <w:rFonts w:ascii="Roboto" w:hAnsi="Roboto"/>
        </w:rPr>
      </w:pPr>
      <w:r w:rsidRPr="001527E1">
        <w:rPr>
          <w:rFonts w:ascii="Roboto" w:hAnsi="Roboto"/>
        </w:rPr>
        <w:t xml:space="preserve">Rahastaja veebilehel on </w:t>
      </w:r>
      <w:proofErr w:type="spellStart"/>
      <w:r w:rsidRPr="001527E1">
        <w:rPr>
          <w:rFonts w:ascii="Roboto" w:hAnsi="Roboto"/>
        </w:rPr>
        <w:t>olemasavalik</w:t>
      </w:r>
      <w:proofErr w:type="spellEnd"/>
      <w:r w:rsidRPr="001527E1">
        <w:rPr>
          <w:rFonts w:ascii="Roboto" w:hAnsi="Roboto"/>
        </w:rPr>
        <w:t xml:space="preserve"> teave ühenduste rahastamise põhimõtete ja tingimuste, rahastamisprotsessi ja selle tulemuste kohta, mis on lihtsasti leitav.</w:t>
      </w:r>
    </w:p>
    <w:p w14:paraId="5994ECD2" w14:textId="08C4C8D5" w:rsidR="008B5F1F" w:rsidRPr="001527E1" w:rsidRDefault="008B5F1F" w:rsidP="001527E1">
      <w:pPr>
        <w:pStyle w:val="Loendilik"/>
        <w:numPr>
          <w:ilvl w:val="0"/>
          <w:numId w:val="5"/>
        </w:numPr>
        <w:jc w:val="both"/>
        <w:rPr>
          <w:rFonts w:ascii="Roboto" w:hAnsi="Roboto"/>
        </w:rPr>
      </w:pPr>
      <w:r w:rsidRPr="001527E1">
        <w:rPr>
          <w:rFonts w:ascii="Roboto" w:hAnsi="Roboto"/>
        </w:rPr>
        <w:t>Koostatud on rahastamise kord, mis on kooskõlas rahastamise juhendmaterjaliga (maksimaalne tulemus); on tehtud muudatusi olemasolevas rahastamise korras (kesktase); on tehtud väikeseid muudatusi olemasolevas korras (miinimum).</w:t>
      </w:r>
    </w:p>
    <w:p w14:paraId="7E3C177E" w14:textId="65DAFC88" w:rsidR="008B5F1F" w:rsidRPr="001527E1" w:rsidRDefault="008B5F1F" w:rsidP="001527E1">
      <w:pPr>
        <w:pStyle w:val="Loendilik"/>
        <w:numPr>
          <w:ilvl w:val="0"/>
          <w:numId w:val="5"/>
        </w:numPr>
        <w:jc w:val="both"/>
        <w:rPr>
          <w:rFonts w:ascii="Roboto" w:hAnsi="Roboto"/>
        </w:rPr>
      </w:pPr>
      <w:r w:rsidRPr="001527E1">
        <w:rPr>
          <w:rFonts w:ascii="Roboto" w:hAnsi="Roboto"/>
        </w:rPr>
        <w:t>Raha eraldatakse avaliku konkursi alusel, mis loob parimad tingimused rahastusprotsessi läbipaistvuse tagamiseks.</w:t>
      </w:r>
    </w:p>
    <w:p w14:paraId="101FB3F5" w14:textId="6B41DEED" w:rsidR="008B5F1F" w:rsidRPr="001527E1" w:rsidRDefault="00A70DD2" w:rsidP="001527E1">
      <w:pPr>
        <w:pStyle w:val="Loendilik"/>
        <w:numPr>
          <w:ilvl w:val="0"/>
          <w:numId w:val="5"/>
        </w:numPr>
        <w:jc w:val="both"/>
        <w:rPr>
          <w:rFonts w:ascii="Roboto" w:hAnsi="Roboto"/>
        </w:rPr>
      </w:pPr>
      <w:r w:rsidRPr="001527E1">
        <w:rPr>
          <w:rFonts w:ascii="Roboto" w:hAnsi="Roboto"/>
        </w:rPr>
        <w:t>Aruanded on ministeeriumi lehelt leitavad/kättesaadavad/viidatud).</w:t>
      </w:r>
    </w:p>
    <w:p w14:paraId="24BA8E17" w14:textId="03C7A4D0" w:rsidR="00A70DD2" w:rsidRPr="001527E1" w:rsidRDefault="00A70DD2" w:rsidP="001527E1">
      <w:pPr>
        <w:pStyle w:val="Loendilik"/>
        <w:numPr>
          <w:ilvl w:val="0"/>
          <w:numId w:val="5"/>
        </w:numPr>
        <w:jc w:val="both"/>
        <w:rPr>
          <w:rFonts w:ascii="Roboto" w:hAnsi="Roboto"/>
        </w:rPr>
      </w:pPr>
      <w:r w:rsidRPr="001527E1">
        <w:rPr>
          <w:rFonts w:ascii="Roboto" w:hAnsi="Roboto"/>
        </w:rPr>
        <w:lastRenderedPageBreak/>
        <w:t>Hindamise kord on avalik ja üheselt mõistetav, hindamiskomisjoni koosseis ja kriteeriumid on avalikud.</w:t>
      </w:r>
    </w:p>
    <w:p w14:paraId="324E5670" w14:textId="7964485C" w:rsidR="00A70DD2" w:rsidRPr="001527E1" w:rsidRDefault="00A70DD2" w:rsidP="001527E1">
      <w:pPr>
        <w:pStyle w:val="Loendilik"/>
        <w:numPr>
          <w:ilvl w:val="0"/>
          <w:numId w:val="5"/>
        </w:numPr>
        <w:jc w:val="both"/>
        <w:rPr>
          <w:rFonts w:ascii="Roboto" w:hAnsi="Roboto"/>
        </w:rPr>
      </w:pPr>
      <w:r w:rsidRPr="001527E1">
        <w:rPr>
          <w:rFonts w:ascii="Roboto" w:hAnsi="Roboto"/>
        </w:rPr>
        <w:t>Ühendused saavad enda kandidatuuri osas tagasisidet.</w:t>
      </w:r>
    </w:p>
    <w:p w14:paraId="7D0DAAB7" w14:textId="77777777" w:rsidR="00A70DD2" w:rsidRPr="001527E1" w:rsidRDefault="00A70DD2" w:rsidP="001527E1">
      <w:pPr>
        <w:jc w:val="both"/>
        <w:rPr>
          <w:rFonts w:ascii="Roboto" w:hAnsi="Roboto"/>
        </w:rPr>
      </w:pPr>
    </w:p>
    <w:p w14:paraId="75BC42BF" w14:textId="234CD076" w:rsidR="00A70DD2" w:rsidRPr="001527E1" w:rsidRDefault="00A70DD2" w:rsidP="001527E1">
      <w:pPr>
        <w:jc w:val="both"/>
        <w:rPr>
          <w:rFonts w:ascii="Roboto" w:hAnsi="Roboto"/>
        </w:rPr>
      </w:pPr>
      <w:r w:rsidRPr="001527E1">
        <w:rPr>
          <w:rFonts w:ascii="Roboto" w:hAnsi="Roboto"/>
          <w:b/>
          <w:bCs/>
        </w:rPr>
        <w:t>Ligipääsetavus</w:t>
      </w:r>
    </w:p>
    <w:p w14:paraId="174C4C16" w14:textId="66E15D7E" w:rsidR="00A70DD2" w:rsidRPr="001527E1" w:rsidRDefault="00A70DD2" w:rsidP="001527E1">
      <w:pPr>
        <w:pStyle w:val="Loendilik"/>
        <w:numPr>
          <w:ilvl w:val="0"/>
          <w:numId w:val="6"/>
        </w:numPr>
        <w:jc w:val="both"/>
        <w:rPr>
          <w:rFonts w:ascii="Roboto" w:hAnsi="Roboto"/>
        </w:rPr>
      </w:pPr>
      <w:r w:rsidRPr="001527E1">
        <w:rPr>
          <w:rFonts w:ascii="Roboto" w:hAnsi="Roboto"/>
        </w:rPr>
        <w:t>On kehtestatud selged rahastamise reeglid ja valikukriteeriumid, mida rahastamisel järgitakse sh. on selgitatud erandid.</w:t>
      </w:r>
    </w:p>
    <w:p w14:paraId="3AD3E0FF" w14:textId="07ED541C" w:rsidR="00A70DD2" w:rsidRPr="001527E1" w:rsidRDefault="00A70DD2" w:rsidP="001527E1">
      <w:pPr>
        <w:pStyle w:val="Loendilik"/>
        <w:numPr>
          <w:ilvl w:val="0"/>
          <w:numId w:val="6"/>
        </w:numPr>
        <w:jc w:val="both"/>
        <w:rPr>
          <w:rFonts w:ascii="Roboto" w:hAnsi="Roboto"/>
        </w:rPr>
      </w:pPr>
      <w:r w:rsidRPr="001527E1">
        <w:rPr>
          <w:rFonts w:ascii="Roboto" w:hAnsi="Roboto"/>
        </w:rPr>
        <w:t>Eristatud on projektitoetus, tegevustoetus ja teenuste rahastus.</w:t>
      </w:r>
    </w:p>
    <w:p w14:paraId="0D4EA63E" w14:textId="7EDCFD3A" w:rsidR="00A70DD2" w:rsidRPr="001527E1" w:rsidRDefault="00A70DD2" w:rsidP="001527E1">
      <w:pPr>
        <w:pStyle w:val="Loendilik"/>
        <w:numPr>
          <w:ilvl w:val="0"/>
          <w:numId w:val="6"/>
        </w:numPr>
        <w:jc w:val="both"/>
        <w:rPr>
          <w:rFonts w:ascii="Roboto" w:hAnsi="Roboto"/>
        </w:rPr>
      </w:pPr>
      <w:r w:rsidRPr="001527E1">
        <w:rPr>
          <w:rFonts w:ascii="Roboto" w:hAnsi="Roboto"/>
        </w:rPr>
        <w:t>TAT-id on objektiivsed ja potentsiaalseid taotlejaid mittediskrimineerivad. Konkursi tingimused ei tohi luua eeliseid konkreetsetele ühendustele või ühenduste rühmale.</w:t>
      </w:r>
    </w:p>
    <w:p w14:paraId="3FDC64AD" w14:textId="54830878" w:rsidR="00A70DD2" w:rsidRPr="001527E1" w:rsidRDefault="00A70DD2" w:rsidP="001527E1">
      <w:pPr>
        <w:pStyle w:val="Loendilik"/>
        <w:numPr>
          <w:ilvl w:val="0"/>
          <w:numId w:val="6"/>
        </w:numPr>
        <w:jc w:val="both"/>
        <w:rPr>
          <w:rFonts w:ascii="Roboto" w:hAnsi="Roboto"/>
        </w:rPr>
      </w:pPr>
      <w:r w:rsidRPr="001527E1">
        <w:rPr>
          <w:rFonts w:ascii="Roboto" w:hAnsi="Roboto"/>
        </w:rPr>
        <w:t>Toetuste andmise tingimused on rahastamise eesmärgi ja otstarbe suhtes asjakohased ja põhjendatud. See tähendab, et rahastamise tingimused peavad tulenema rahastamise eesmärgist.</w:t>
      </w:r>
    </w:p>
    <w:p w14:paraId="1B2DA0AD" w14:textId="2116E2F2" w:rsidR="00A70DD2" w:rsidRPr="001527E1" w:rsidRDefault="00A70DD2" w:rsidP="001527E1">
      <w:pPr>
        <w:pStyle w:val="Loendilik"/>
        <w:numPr>
          <w:ilvl w:val="0"/>
          <w:numId w:val="6"/>
        </w:numPr>
        <w:jc w:val="both"/>
        <w:rPr>
          <w:rFonts w:ascii="Roboto" w:hAnsi="Roboto"/>
        </w:rPr>
      </w:pPr>
      <w:r w:rsidRPr="001527E1">
        <w:rPr>
          <w:rFonts w:ascii="Roboto" w:hAnsi="Roboto"/>
        </w:rPr>
        <w:t>Kaasfinantseerimise tingimused on läbimõeldud ja mõistlikud.</w:t>
      </w:r>
    </w:p>
    <w:p w14:paraId="3F04D3A1" w14:textId="77777777" w:rsidR="00A70DD2" w:rsidRPr="001527E1" w:rsidRDefault="00A70DD2" w:rsidP="001527E1">
      <w:pPr>
        <w:jc w:val="both"/>
        <w:rPr>
          <w:rFonts w:ascii="Roboto" w:hAnsi="Roboto"/>
        </w:rPr>
      </w:pPr>
    </w:p>
    <w:p w14:paraId="0A2742FD" w14:textId="1DF3248F" w:rsidR="00A70DD2" w:rsidRPr="001527E1" w:rsidRDefault="002A1349" w:rsidP="001527E1">
      <w:pPr>
        <w:jc w:val="both"/>
        <w:rPr>
          <w:rFonts w:ascii="Roboto" w:hAnsi="Roboto"/>
        </w:rPr>
      </w:pPr>
      <w:r w:rsidRPr="001527E1">
        <w:rPr>
          <w:rFonts w:ascii="Roboto" w:hAnsi="Roboto"/>
          <w:b/>
          <w:bCs/>
        </w:rPr>
        <w:t>Võimekus</w:t>
      </w:r>
    </w:p>
    <w:p w14:paraId="5078225D" w14:textId="77777777" w:rsidR="002A1349" w:rsidRPr="001527E1" w:rsidRDefault="002A1349" w:rsidP="001527E1">
      <w:pPr>
        <w:pStyle w:val="Loendilik"/>
        <w:numPr>
          <w:ilvl w:val="0"/>
          <w:numId w:val="7"/>
        </w:numPr>
        <w:jc w:val="both"/>
        <w:rPr>
          <w:rFonts w:ascii="Roboto" w:hAnsi="Roboto"/>
        </w:rPr>
      </w:pPr>
      <w:r w:rsidRPr="001527E1">
        <w:rPr>
          <w:rFonts w:ascii="Roboto" w:hAnsi="Roboto"/>
        </w:rPr>
        <w:t xml:space="preserve">Rahastamine toetab ühenduse eesmärkide saavutamist, professionaalsust ja pädevust ning tegevuse jätkusuutlikkust. </w:t>
      </w:r>
    </w:p>
    <w:p w14:paraId="7060C2C0" w14:textId="5742B110" w:rsidR="002A1349" w:rsidRPr="001527E1" w:rsidRDefault="002A1349" w:rsidP="001527E1">
      <w:pPr>
        <w:pStyle w:val="Loendilik"/>
        <w:numPr>
          <w:ilvl w:val="0"/>
          <w:numId w:val="7"/>
        </w:numPr>
        <w:jc w:val="both"/>
        <w:rPr>
          <w:rFonts w:ascii="Roboto" w:hAnsi="Roboto"/>
        </w:rPr>
      </w:pPr>
      <w:r w:rsidRPr="001527E1">
        <w:rPr>
          <w:rFonts w:ascii="Roboto" w:hAnsi="Roboto"/>
        </w:rPr>
        <w:t>Esimese hindamiskriteeriumi täidetust on võimalik selgelt hinnata.</w:t>
      </w:r>
    </w:p>
    <w:p w14:paraId="333F06C9" w14:textId="27A62138" w:rsidR="002A1349" w:rsidRPr="001527E1" w:rsidRDefault="002A1349" w:rsidP="001527E1">
      <w:pPr>
        <w:pStyle w:val="Loendilik"/>
        <w:numPr>
          <w:ilvl w:val="0"/>
          <w:numId w:val="7"/>
        </w:numPr>
        <w:jc w:val="both"/>
        <w:rPr>
          <w:rFonts w:ascii="Roboto" w:hAnsi="Roboto"/>
        </w:rPr>
      </w:pPr>
      <w:r w:rsidRPr="001527E1">
        <w:rPr>
          <w:rFonts w:ascii="Roboto" w:hAnsi="Roboto"/>
        </w:rPr>
        <w:t>Toetus võimaldab katta organisatsiooni üldkulusid.</w:t>
      </w:r>
    </w:p>
    <w:p w14:paraId="20E687C4" w14:textId="77777777" w:rsidR="00927B69" w:rsidRPr="001527E1" w:rsidRDefault="00927B69" w:rsidP="001527E1">
      <w:pPr>
        <w:jc w:val="both"/>
        <w:rPr>
          <w:rFonts w:ascii="Roboto" w:hAnsi="Roboto"/>
        </w:rPr>
      </w:pPr>
    </w:p>
    <w:sectPr w:rsidR="00927B69" w:rsidRPr="00152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203D2"/>
    <w:multiLevelType w:val="hybridMultilevel"/>
    <w:tmpl w:val="4AFAF0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25759D"/>
    <w:multiLevelType w:val="hybridMultilevel"/>
    <w:tmpl w:val="543E4B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476C53"/>
    <w:multiLevelType w:val="hybridMultilevel"/>
    <w:tmpl w:val="2A42A9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3726371"/>
    <w:multiLevelType w:val="hybridMultilevel"/>
    <w:tmpl w:val="D83E55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5CB0DC2"/>
    <w:multiLevelType w:val="hybridMultilevel"/>
    <w:tmpl w:val="2A1846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2436A06"/>
    <w:multiLevelType w:val="hybridMultilevel"/>
    <w:tmpl w:val="F856AE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4090123"/>
    <w:multiLevelType w:val="hybridMultilevel"/>
    <w:tmpl w:val="735C1A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38710121">
    <w:abstractNumId w:val="3"/>
  </w:num>
  <w:num w:numId="2" w16cid:durableId="812215297">
    <w:abstractNumId w:val="6"/>
  </w:num>
  <w:num w:numId="3" w16cid:durableId="58409388">
    <w:abstractNumId w:val="2"/>
  </w:num>
  <w:num w:numId="4" w16cid:durableId="397556470">
    <w:abstractNumId w:val="0"/>
  </w:num>
  <w:num w:numId="5" w16cid:durableId="726798740">
    <w:abstractNumId w:val="5"/>
  </w:num>
  <w:num w:numId="6" w16cid:durableId="1450707845">
    <w:abstractNumId w:val="4"/>
  </w:num>
  <w:num w:numId="7" w16cid:durableId="917323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69"/>
    <w:rsid w:val="001527E1"/>
    <w:rsid w:val="002A1349"/>
    <w:rsid w:val="00744AC2"/>
    <w:rsid w:val="008B5F1F"/>
    <w:rsid w:val="00927B69"/>
    <w:rsid w:val="00A70D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A884"/>
  <w15:chartTrackingRefBased/>
  <w15:docId w15:val="{AFD67E2F-FA59-4757-8171-F65AD31F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27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27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27B6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27B6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27B6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27B6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27B6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27B6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27B6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27B6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27B6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27B6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27B6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27B6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27B6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27B6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27B6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27B6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27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27B6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27B6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27B6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27B69"/>
    <w:pPr>
      <w:spacing w:before="160"/>
      <w:jc w:val="center"/>
    </w:pPr>
    <w:rPr>
      <w:i/>
      <w:iCs/>
      <w:color w:val="404040" w:themeColor="text1" w:themeTint="BF"/>
    </w:rPr>
  </w:style>
  <w:style w:type="character" w:customStyle="1" w:styleId="TsitaatMrk">
    <w:name w:val="Tsitaat Märk"/>
    <w:basedOn w:val="Liguvaikefont"/>
    <w:link w:val="Tsitaat"/>
    <w:uiPriority w:val="29"/>
    <w:rsid w:val="00927B69"/>
    <w:rPr>
      <w:i/>
      <w:iCs/>
      <w:color w:val="404040" w:themeColor="text1" w:themeTint="BF"/>
    </w:rPr>
  </w:style>
  <w:style w:type="paragraph" w:styleId="Loendilik">
    <w:name w:val="List Paragraph"/>
    <w:basedOn w:val="Normaallaad"/>
    <w:uiPriority w:val="34"/>
    <w:qFormat/>
    <w:rsid w:val="00927B69"/>
    <w:pPr>
      <w:ind w:left="720"/>
      <w:contextualSpacing/>
    </w:pPr>
  </w:style>
  <w:style w:type="character" w:styleId="Selgeltmrgatavrhutus">
    <w:name w:val="Intense Emphasis"/>
    <w:basedOn w:val="Liguvaikefont"/>
    <w:uiPriority w:val="21"/>
    <w:qFormat/>
    <w:rsid w:val="00927B69"/>
    <w:rPr>
      <w:i/>
      <w:iCs/>
      <w:color w:val="0F4761" w:themeColor="accent1" w:themeShade="BF"/>
    </w:rPr>
  </w:style>
  <w:style w:type="paragraph" w:styleId="Selgeltmrgatavtsitaat">
    <w:name w:val="Intense Quote"/>
    <w:basedOn w:val="Normaallaad"/>
    <w:next w:val="Normaallaad"/>
    <w:link w:val="SelgeltmrgatavtsitaatMrk"/>
    <w:uiPriority w:val="30"/>
    <w:qFormat/>
    <w:rsid w:val="00927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27B69"/>
    <w:rPr>
      <w:i/>
      <w:iCs/>
      <w:color w:val="0F4761" w:themeColor="accent1" w:themeShade="BF"/>
    </w:rPr>
  </w:style>
  <w:style w:type="character" w:styleId="Selgeltmrgatavviide">
    <w:name w:val="Intense Reference"/>
    <w:basedOn w:val="Liguvaikefont"/>
    <w:uiPriority w:val="32"/>
    <w:qFormat/>
    <w:rsid w:val="00927B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9" ma:contentTypeDescription="Loo uus dokument" ma:contentTypeScope="" ma:versionID="fa25ccc256847391e12029c5f4c3d381">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cfdf7e5376cd8b13e24d22d8ff9664c2"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Props1.xml><?xml version="1.0" encoding="utf-8"?>
<ds:datastoreItem xmlns:ds="http://schemas.openxmlformats.org/officeDocument/2006/customXml" ds:itemID="{FF190BA6-2BAC-4E60-BA2B-1C1F578ADCA8}"/>
</file>

<file path=customXml/itemProps2.xml><?xml version="1.0" encoding="utf-8"?>
<ds:datastoreItem xmlns:ds="http://schemas.openxmlformats.org/officeDocument/2006/customXml" ds:itemID="{D5375B49-4DBA-41F4-AA1A-F5F65109F02E}"/>
</file>

<file path=customXml/itemProps3.xml><?xml version="1.0" encoding="utf-8"?>
<ds:datastoreItem xmlns:ds="http://schemas.openxmlformats.org/officeDocument/2006/customXml" ds:itemID="{79C9B0B8-7CF0-466B-86AA-C03C159A5DDA}"/>
</file>

<file path=docProps/app.xml><?xml version="1.0" encoding="utf-8"?>
<Properties xmlns="http://schemas.openxmlformats.org/officeDocument/2006/extended-properties" xmlns:vt="http://schemas.openxmlformats.org/officeDocument/2006/docPropsVTypes">
  <Template>Normal</Template>
  <TotalTime>48</TotalTime>
  <Pages>3</Pages>
  <Words>761</Words>
  <Characters>4416</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Maarja-Liisa Kapaun</dc:creator>
  <cp:keywords/>
  <dc:description/>
  <cp:lastModifiedBy>Maarja-Liisa Kapaun</cp:lastModifiedBy>
  <cp:revision>1</cp:revision>
  <dcterms:created xsi:type="dcterms:W3CDTF">2025-07-29T10:28:00Z</dcterms:created>
  <dcterms:modified xsi:type="dcterms:W3CDTF">2025-07-29T11:16:00Z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ies>
</file>